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DEE9" w14:textId="77777777" w:rsidR="00C25BDC" w:rsidRPr="003A1FC7" w:rsidRDefault="00C25BDC" w:rsidP="00C25BDC">
      <w:pPr>
        <w:pStyle w:val="a5"/>
        <w:suppressAutoHyphens/>
        <w:spacing w:before="0" w:after="480" w:line="240" w:lineRule="auto"/>
        <w:ind w:firstLineChars="700" w:firstLine="1540"/>
        <w:rPr>
          <w:rFonts w:asciiTheme="majorHAnsi" w:eastAsiaTheme="majorHAnsi" w:hint="default"/>
          <w:color w:val="000000" w:themeColor="text1"/>
          <w:sz w:val="22"/>
          <w:szCs w:val="22"/>
        </w:rPr>
      </w:pPr>
    </w:p>
    <w:p w14:paraId="691497CE" w14:textId="5C987EB5" w:rsidR="000429C5" w:rsidRPr="003A1FC7" w:rsidRDefault="00000000" w:rsidP="00C25BDC">
      <w:pPr>
        <w:pStyle w:val="a5"/>
        <w:suppressAutoHyphens/>
        <w:spacing w:before="0" w:after="480" w:line="240" w:lineRule="auto"/>
        <w:ind w:firstLineChars="700" w:firstLine="1540"/>
        <w:rPr>
          <w:rFonts w:asciiTheme="majorHAnsi" w:eastAsiaTheme="majorHAnsi" w:hAnsi="Helvetica" w:cs="Helvetica" w:hint="default"/>
          <w:color w:val="000000" w:themeColor="text1"/>
          <w:sz w:val="22"/>
          <w:szCs w:val="22"/>
        </w:rPr>
      </w:pPr>
      <w:r w:rsidRPr="003A1FC7">
        <w:rPr>
          <w:rFonts w:asciiTheme="majorHAnsi" w:eastAsiaTheme="majorHAnsi" w:hint="default"/>
          <w:color w:val="000000" w:themeColor="text1"/>
          <w:sz w:val="22"/>
          <w:szCs w:val="22"/>
        </w:rPr>
        <w:t>訪問看護医療</w:t>
      </w:r>
      <w:r w:rsidRPr="003A1FC7">
        <w:rPr>
          <w:rFonts w:asciiTheme="majorHAnsi" w:eastAsiaTheme="majorHAnsi" w:hAnsi="Helvetica" w:hint="default"/>
          <w:color w:val="000000" w:themeColor="text1"/>
          <w:sz w:val="22"/>
          <w:szCs w:val="22"/>
        </w:rPr>
        <w:t>DX</w:t>
      </w:r>
      <w:r w:rsidRPr="003A1FC7">
        <w:rPr>
          <w:rFonts w:asciiTheme="majorHAnsi" w:eastAsiaTheme="majorHAnsi" w:hint="default"/>
          <w:color w:val="000000" w:themeColor="text1"/>
          <w:sz w:val="22"/>
          <w:szCs w:val="22"/>
        </w:rPr>
        <w:t>情報活用加算に伴うウェブサイト掲示について</w:t>
      </w:r>
    </w:p>
    <w:p w14:paraId="5610A821" w14:textId="77777777" w:rsidR="000429C5" w:rsidRPr="003A1FC7" w:rsidRDefault="00000000">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Ansi="Helvetica" w:hint="default"/>
          <w:color w:val="000000" w:themeColor="text1"/>
          <w:sz w:val="22"/>
          <w:szCs w:val="22"/>
        </w:rPr>
        <w:t>2024</w:t>
      </w:r>
      <w:r w:rsidRPr="003A1FC7">
        <w:rPr>
          <w:rFonts w:asciiTheme="majorHAnsi" w:eastAsiaTheme="majorHAnsi" w:hint="default"/>
          <w:color w:val="000000" w:themeColor="text1"/>
          <w:sz w:val="22"/>
          <w:szCs w:val="22"/>
        </w:rPr>
        <w:t>年診療報酬改定に伴い、当ステーションは、地方厚生局長等に届け出た訪問看護ステーションの看護師等（准看護師を除く）が、オンライン資格確認によって利用者の診療情報や薬剤情報等を取得した上で訪問看護の実施に関する計画的な管理を行い、質の高い医療を提供します。これにより訪問看護医療</w:t>
      </w:r>
      <w:r w:rsidRPr="003A1FC7">
        <w:rPr>
          <w:rFonts w:asciiTheme="majorHAnsi" w:eastAsiaTheme="majorHAnsi" w:hAnsi="Helvetica" w:hint="default"/>
          <w:color w:val="000000" w:themeColor="text1"/>
          <w:sz w:val="22"/>
          <w:szCs w:val="22"/>
        </w:rPr>
        <w:t>DX</w:t>
      </w:r>
      <w:r w:rsidRPr="003A1FC7">
        <w:rPr>
          <w:rFonts w:asciiTheme="majorHAnsi" w:eastAsiaTheme="majorHAnsi" w:hint="default"/>
          <w:color w:val="000000" w:themeColor="text1"/>
          <w:sz w:val="22"/>
          <w:szCs w:val="22"/>
        </w:rPr>
        <w:t>情報活用加算として定められた額を所定額に加算します。</w:t>
      </w:r>
    </w:p>
    <w:p w14:paraId="580EE236" w14:textId="77777777" w:rsidR="000429C5" w:rsidRPr="003A1FC7" w:rsidRDefault="000429C5">
      <w:pPr>
        <w:pStyle w:val="a5"/>
        <w:suppressAutoHyphens/>
        <w:spacing w:before="0" w:line="240" w:lineRule="auto"/>
        <w:jc w:val="both"/>
        <w:rPr>
          <w:rFonts w:asciiTheme="majorHAnsi" w:eastAsiaTheme="majorHAnsi" w:hAnsi="Helvetica" w:cs="Helvetica" w:hint="default"/>
          <w:color w:val="000000" w:themeColor="text1"/>
          <w:sz w:val="22"/>
          <w:szCs w:val="22"/>
        </w:rPr>
      </w:pPr>
    </w:p>
    <w:p w14:paraId="7B55AD08" w14:textId="05FF69B5" w:rsidR="00C25BDC" w:rsidRPr="003A1FC7" w:rsidRDefault="00000000">
      <w:pPr>
        <w:pStyle w:val="a5"/>
        <w:suppressAutoHyphens/>
        <w:spacing w:before="0" w:line="240" w:lineRule="auto"/>
        <w:jc w:val="both"/>
        <w:rPr>
          <w:rFonts w:asciiTheme="majorHAnsi" w:eastAsiaTheme="majorHAnsi" w:hint="default"/>
          <w:color w:val="000000" w:themeColor="text1"/>
          <w:sz w:val="22"/>
          <w:szCs w:val="22"/>
          <w:lang w:eastAsia="zh-CN"/>
        </w:rPr>
      </w:pPr>
      <w:r w:rsidRPr="003A1FC7">
        <w:rPr>
          <w:rFonts w:asciiTheme="majorHAnsi" w:eastAsiaTheme="majorHAnsi" w:hint="default"/>
          <w:color w:val="000000" w:themeColor="text1"/>
          <w:sz w:val="22"/>
          <w:szCs w:val="22"/>
          <w:lang w:eastAsia="zh-CN"/>
        </w:rPr>
        <w:t>訪問看護医療</w:t>
      </w:r>
      <w:r w:rsidRPr="003A1FC7">
        <w:rPr>
          <w:rFonts w:asciiTheme="majorHAnsi" w:eastAsiaTheme="majorHAnsi" w:hAnsi="Helvetica" w:hint="default"/>
          <w:color w:val="000000" w:themeColor="text1"/>
          <w:sz w:val="22"/>
          <w:szCs w:val="22"/>
          <w:lang w:eastAsia="zh-CN"/>
        </w:rPr>
        <w:t xml:space="preserve"> </w:t>
      </w:r>
      <w:r w:rsidRPr="003A1FC7">
        <w:rPr>
          <w:rFonts w:asciiTheme="majorHAnsi" w:eastAsiaTheme="majorHAnsi" w:hAnsi="Helvetica" w:hint="default"/>
          <w:color w:val="000000" w:themeColor="text1"/>
          <w:sz w:val="22"/>
          <w:szCs w:val="22"/>
          <w:lang w:val="da-DK" w:eastAsia="zh-CN"/>
        </w:rPr>
        <w:t xml:space="preserve">DX </w:t>
      </w:r>
      <w:r w:rsidRPr="003A1FC7">
        <w:rPr>
          <w:rFonts w:asciiTheme="majorHAnsi" w:eastAsiaTheme="majorHAnsi" w:hint="default"/>
          <w:color w:val="000000" w:themeColor="text1"/>
          <w:sz w:val="22"/>
          <w:szCs w:val="22"/>
          <w:lang w:eastAsia="zh-CN"/>
        </w:rPr>
        <w:t>情報活用加算</w:t>
      </w:r>
      <w:r w:rsidRPr="003A1FC7">
        <w:rPr>
          <w:rFonts w:asciiTheme="majorHAnsi" w:eastAsiaTheme="majorHAnsi" w:hAnsi="Helvetica" w:hint="default"/>
          <w:color w:val="000000" w:themeColor="text1"/>
          <w:sz w:val="22"/>
          <w:szCs w:val="22"/>
          <w:lang w:eastAsia="zh-CN"/>
        </w:rPr>
        <w:t xml:space="preserve"> 50</w:t>
      </w:r>
      <w:r w:rsidRPr="003A1FC7">
        <w:rPr>
          <w:rFonts w:asciiTheme="majorHAnsi" w:eastAsiaTheme="majorHAnsi" w:hint="default"/>
          <w:color w:val="000000" w:themeColor="text1"/>
          <w:sz w:val="22"/>
          <w:szCs w:val="22"/>
          <w:lang w:eastAsia="zh-CN"/>
        </w:rPr>
        <w:t>円</w:t>
      </w:r>
      <w:r w:rsidRPr="003A1FC7">
        <w:rPr>
          <w:rFonts w:asciiTheme="majorHAnsi" w:eastAsiaTheme="majorHAnsi" w:hAnsi="Helvetica" w:hint="default"/>
          <w:color w:val="000000" w:themeColor="text1"/>
          <w:sz w:val="22"/>
          <w:szCs w:val="22"/>
          <w:lang w:eastAsia="zh-CN"/>
        </w:rPr>
        <w:t>/</w:t>
      </w:r>
      <w:r w:rsidRPr="003A1FC7">
        <w:rPr>
          <w:rFonts w:asciiTheme="majorHAnsi" w:eastAsiaTheme="majorHAnsi" w:hint="default"/>
          <w:color w:val="000000" w:themeColor="text1"/>
          <w:sz w:val="22"/>
          <w:szCs w:val="22"/>
          <w:lang w:eastAsia="zh-CN"/>
        </w:rPr>
        <w:t>月</w:t>
      </w:r>
    </w:p>
    <w:p w14:paraId="3CD50CAC" w14:textId="77A84F9E" w:rsidR="00C25BDC" w:rsidRPr="003A1FC7" w:rsidRDefault="00000000">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Ansi="Helvetica" w:cs="Helvetica" w:hint="default"/>
          <w:color w:val="000000" w:themeColor="text1"/>
          <w:sz w:val="22"/>
          <w:szCs w:val="22"/>
          <w:lang w:eastAsia="zh-CN"/>
        </w:rPr>
        <w:br/>
      </w:r>
      <w:r w:rsidRPr="003A1FC7">
        <w:rPr>
          <w:rFonts w:asciiTheme="majorHAnsi" w:eastAsiaTheme="majorHAnsi" w:hint="default"/>
          <w:color w:val="000000" w:themeColor="text1"/>
          <w:sz w:val="22"/>
          <w:szCs w:val="22"/>
        </w:rPr>
        <w:t>これに関する施設基準は以下の通りです。</w:t>
      </w:r>
    </w:p>
    <w:p w14:paraId="0C6D6A6D" w14:textId="77777777"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p>
    <w:p w14:paraId="4FD7CD55" w14:textId="77777777" w:rsidR="000429C5" w:rsidRPr="003A1FC7" w:rsidRDefault="00000000">
      <w:pPr>
        <w:pStyle w:val="a5"/>
        <w:numPr>
          <w:ilvl w:val="0"/>
          <w:numId w:val="2"/>
        </w:numPr>
        <w:suppressAutoHyphens/>
        <w:spacing w:before="0" w:line="240" w:lineRule="auto"/>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訪問看護療養費及び公費負担医療に関する費用の請求に関する命令（平成４年厚生省令第５号）第１条に規定する電子情報処理組織の使用による請求を行っていること。</w:t>
      </w:r>
    </w:p>
    <w:p w14:paraId="24ED25AD" w14:textId="77777777" w:rsidR="000429C5" w:rsidRPr="003A1FC7" w:rsidRDefault="00000000">
      <w:pPr>
        <w:pStyle w:val="a5"/>
        <w:numPr>
          <w:ilvl w:val="0"/>
          <w:numId w:val="2"/>
        </w:numPr>
        <w:suppressAutoHyphens/>
        <w:spacing w:before="0" w:line="240" w:lineRule="auto"/>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健康保険法第３条第</w:t>
      </w:r>
      <w:r w:rsidRPr="003A1FC7">
        <w:rPr>
          <w:rFonts w:asciiTheme="majorHAnsi" w:eastAsiaTheme="majorHAnsi" w:hAnsi="Helvetica" w:hint="default"/>
          <w:color w:val="000000" w:themeColor="text1"/>
          <w:sz w:val="22"/>
          <w:szCs w:val="22"/>
        </w:rPr>
        <w:t>13</w:t>
      </w:r>
      <w:r w:rsidRPr="003A1FC7">
        <w:rPr>
          <w:rFonts w:asciiTheme="majorHAnsi" w:eastAsiaTheme="majorHAnsi" w:hint="default"/>
          <w:color w:val="000000" w:themeColor="text1"/>
          <w:sz w:val="22"/>
          <w:szCs w:val="22"/>
        </w:rPr>
        <w:t>項に規定する電子資格確認を行う体制を有していること。</w:t>
      </w:r>
    </w:p>
    <w:p w14:paraId="035EDC14" w14:textId="77777777" w:rsidR="00C25BDC" w:rsidRPr="003A1FC7" w:rsidRDefault="00000000">
      <w:pPr>
        <w:pStyle w:val="a5"/>
        <w:numPr>
          <w:ilvl w:val="0"/>
          <w:numId w:val="2"/>
        </w:numPr>
        <w:suppressAutoHyphens/>
        <w:spacing w:before="0" w:line="240" w:lineRule="auto"/>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医療</w:t>
      </w:r>
      <w:r w:rsidRPr="003A1FC7">
        <w:rPr>
          <w:rFonts w:asciiTheme="majorHAnsi" w:eastAsiaTheme="majorHAnsi" w:hAnsi="Helvetica" w:hint="default"/>
          <w:color w:val="000000" w:themeColor="text1"/>
          <w:sz w:val="22"/>
          <w:szCs w:val="22"/>
        </w:rPr>
        <w:t>DX</w:t>
      </w:r>
      <w:r w:rsidRPr="003A1FC7">
        <w:rPr>
          <w:rFonts w:asciiTheme="majorHAnsi" w:eastAsiaTheme="majorHAnsi" w:hint="default"/>
          <w:color w:val="000000" w:themeColor="text1"/>
          <w:sz w:val="22"/>
          <w:szCs w:val="22"/>
        </w:rPr>
        <w:t>推進の体制に関する事項及び質の高い訪問看護を実施するための十分な情報を</w:t>
      </w:r>
    </w:p>
    <w:p w14:paraId="38CB11A0" w14:textId="3CB192F0" w:rsidR="000429C5" w:rsidRPr="003A1FC7" w:rsidRDefault="00000000" w:rsidP="003A1FC7">
      <w:pPr>
        <w:pStyle w:val="a5"/>
        <w:suppressAutoHyphens/>
        <w:spacing w:before="0" w:line="240" w:lineRule="auto"/>
        <w:ind w:left="857"/>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取得し、かつ活用して訪問看護を行うことについて、当該訪問看護ステーションの見やすい場所に掲示していること。</w:t>
      </w:r>
    </w:p>
    <w:p w14:paraId="616FEE4E" w14:textId="44A92EC0" w:rsidR="000429C5" w:rsidRPr="003A1FC7" w:rsidRDefault="00000000" w:rsidP="003A1FC7">
      <w:pPr>
        <w:pStyle w:val="a5"/>
        <w:numPr>
          <w:ilvl w:val="0"/>
          <w:numId w:val="2"/>
        </w:numPr>
        <w:suppressAutoHyphens/>
        <w:spacing w:before="0" w:line="240" w:lineRule="auto"/>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以上の掲示事項について、原則としてウェブサイト（当サイト）にも掲載している</w:t>
      </w:r>
      <w:r w:rsidR="00C25BDC" w:rsidRPr="003A1FC7">
        <w:rPr>
          <w:rFonts w:asciiTheme="majorHAnsi" w:eastAsiaTheme="majorHAnsi"/>
          <w:color w:val="000000" w:themeColor="text1"/>
          <w:sz w:val="22"/>
          <w:szCs w:val="22"/>
        </w:rPr>
        <w:t>こ</w:t>
      </w:r>
      <w:r w:rsidRPr="003A1FC7">
        <w:rPr>
          <w:rFonts w:asciiTheme="majorHAnsi" w:eastAsiaTheme="majorHAnsi" w:hint="default"/>
          <w:color w:val="000000" w:themeColor="text1"/>
          <w:sz w:val="22"/>
          <w:szCs w:val="22"/>
        </w:rPr>
        <w:t>と。</w:t>
      </w:r>
    </w:p>
    <w:p w14:paraId="1E16159B" w14:textId="77777777" w:rsidR="000429C5" w:rsidRPr="003A1FC7" w:rsidRDefault="000429C5">
      <w:pPr>
        <w:pStyle w:val="a5"/>
        <w:suppressAutoHyphens/>
        <w:spacing w:before="0" w:line="240" w:lineRule="auto"/>
        <w:rPr>
          <w:rFonts w:asciiTheme="majorHAnsi" w:eastAsiaTheme="majorHAnsi" w:hAnsi="Helvetica" w:cs="Helvetica" w:hint="default"/>
          <w:color w:val="000000" w:themeColor="text1"/>
          <w:sz w:val="22"/>
          <w:szCs w:val="22"/>
        </w:rPr>
      </w:pPr>
    </w:p>
    <w:p w14:paraId="5047AB08" w14:textId="77777777" w:rsidR="000429C5" w:rsidRPr="003A1FC7" w:rsidRDefault="00000000">
      <w:pPr>
        <w:pStyle w:val="a5"/>
        <w:suppressAutoHyphens/>
        <w:spacing w:before="0" w:line="240" w:lineRule="auto"/>
        <w:rPr>
          <w:rFonts w:asciiTheme="majorHAnsi" w:eastAsiaTheme="majorHAnsi" w:hAnsi="Helvetica" w:cs="Helvetica" w:hint="default"/>
          <w:b/>
          <w:bCs/>
          <w:color w:val="000000" w:themeColor="text1"/>
          <w:sz w:val="22"/>
          <w:szCs w:val="22"/>
        </w:rPr>
      </w:pPr>
      <w:r w:rsidRPr="003A1FC7">
        <w:rPr>
          <w:rFonts w:asciiTheme="majorHAnsi" w:eastAsiaTheme="majorHAnsi" w:hint="default"/>
          <w:color w:val="000000" w:themeColor="text1"/>
          <w:sz w:val="22"/>
          <w:szCs w:val="22"/>
        </w:rPr>
        <w:t>■</w:t>
      </w:r>
      <w:r w:rsidRPr="003A1FC7">
        <w:rPr>
          <w:rFonts w:asciiTheme="majorHAnsi" w:eastAsiaTheme="majorHAnsi" w:hAnsi="Helvetica" w:hint="default"/>
          <w:b/>
          <w:bCs/>
          <w:color w:val="000000" w:themeColor="text1"/>
          <w:sz w:val="22"/>
          <w:szCs w:val="22"/>
        </w:rPr>
        <w:t xml:space="preserve"> </w:t>
      </w:r>
      <w:r w:rsidRPr="003A1FC7">
        <w:rPr>
          <w:rFonts w:asciiTheme="majorHAnsi" w:eastAsiaTheme="majorHAnsi" w:hint="default"/>
          <w:color w:val="000000" w:themeColor="text1"/>
          <w:sz w:val="22"/>
          <w:szCs w:val="22"/>
        </w:rPr>
        <w:t>個人情報の取り扱いについて</w:t>
      </w:r>
    </w:p>
    <w:p w14:paraId="687935EF" w14:textId="77777777" w:rsidR="000429C5" w:rsidRPr="003A1FC7" w:rsidRDefault="00000000">
      <w:pPr>
        <w:pStyle w:val="a5"/>
        <w:suppressAutoHyphens/>
        <w:spacing w:before="0" w:after="240" w:line="240" w:lineRule="auto"/>
        <w:jc w:val="both"/>
        <w:rPr>
          <w:rFonts w:asciiTheme="majorHAnsi" w:eastAsiaTheme="majorHAnsi" w:hAnsi="Helvetica" w:cs="Helvetica" w:hint="default"/>
          <w:color w:val="000000" w:themeColor="text1"/>
          <w:sz w:val="22"/>
          <w:szCs w:val="22"/>
        </w:rPr>
      </w:pPr>
      <w:r w:rsidRPr="003A1FC7">
        <w:rPr>
          <w:rFonts w:asciiTheme="majorHAnsi" w:eastAsiaTheme="majorHAnsi" w:hint="default"/>
          <w:color w:val="000000" w:themeColor="text1"/>
          <w:sz w:val="22"/>
          <w:szCs w:val="22"/>
        </w:rPr>
        <w:t>個人情報保険委員会・厚生労働省「医療・介護関係者における個人情報の適切な取り扱いのためのガイダンス」、厚生労働省「医療情報システムの安全管理に関するガイドライン」等の関係法令を遵守し、個人情報保護方針に基づいた適切な管理を行い、ご利用者様への看護サービスの提供以外の目的には使用いたしません。</w:t>
      </w:r>
    </w:p>
    <w:p w14:paraId="0D16FE79" w14:textId="77777777" w:rsidR="000429C5" w:rsidRPr="003A1FC7" w:rsidRDefault="00000000">
      <w:pPr>
        <w:pStyle w:val="a5"/>
        <w:suppressAutoHyphens/>
        <w:spacing w:before="0" w:line="240" w:lineRule="auto"/>
        <w:rPr>
          <w:rFonts w:asciiTheme="majorHAnsi" w:eastAsiaTheme="majorHAnsi" w:hAnsi="Helvetica" w:cs="Helvetica" w:hint="default"/>
          <w:b/>
          <w:bCs/>
          <w:color w:val="000000" w:themeColor="text1"/>
          <w:sz w:val="22"/>
          <w:szCs w:val="22"/>
        </w:rPr>
      </w:pPr>
      <w:r w:rsidRPr="003A1FC7">
        <w:rPr>
          <w:rFonts w:asciiTheme="majorHAnsi" w:eastAsiaTheme="majorHAnsi" w:hint="default"/>
          <w:color w:val="000000" w:themeColor="text1"/>
          <w:sz w:val="22"/>
          <w:szCs w:val="22"/>
        </w:rPr>
        <w:t>■</w:t>
      </w:r>
      <w:r w:rsidRPr="003A1FC7">
        <w:rPr>
          <w:rFonts w:asciiTheme="majorHAnsi" w:eastAsiaTheme="majorHAnsi" w:hAnsi="Helvetica" w:hint="default"/>
          <w:b/>
          <w:bCs/>
          <w:color w:val="000000" w:themeColor="text1"/>
          <w:sz w:val="22"/>
          <w:szCs w:val="22"/>
        </w:rPr>
        <w:t xml:space="preserve"> </w:t>
      </w:r>
      <w:r w:rsidRPr="003A1FC7">
        <w:rPr>
          <w:rFonts w:asciiTheme="majorHAnsi" w:eastAsiaTheme="majorHAnsi" w:hint="default"/>
          <w:color w:val="000000" w:themeColor="text1"/>
          <w:sz w:val="22"/>
          <w:szCs w:val="22"/>
        </w:rPr>
        <w:t>資格情報の提供について</w:t>
      </w:r>
    </w:p>
    <w:p w14:paraId="462D29F8" w14:textId="77777777" w:rsidR="000429C5" w:rsidRPr="003A1FC7" w:rsidRDefault="00000000">
      <w:pPr>
        <w:pStyle w:val="a5"/>
        <w:suppressAutoHyphens/>
        <w:spacing w:before="0" w:line="240" w:lineRule="auto"/>
        <w:jc w:val="both"/>
        <w:rPr>
          <w:rFonts w:asciiTheme="majorHAnsi" w:eastAsiaTheme="majorHAnsi" w:hAnsi="Helvetica" w:cs="Helvetica" w:hint="default"/>
          <w:color w:val="000000" w:themeColor="text1"/>
          <w:sz w:val="22"/>
          <w:szCs w:val="22"/>
        </w:rPr>
      </w:pPr>
      <w:r w:rsidRPr="003A1FC7">
        <w:rPr>
          <w:rFonts w:asciiTheme="majorHAnsi" w:eastAsiaTheme="majorHAnsi" w:hint="default"/>
          <w:color w:val="000000" w:themeColor="text1"/>
          <w:sz w:val="22"/>
          <w:szCs w:val="22"/>
        </w:rPr>
        <w:t>資格情報の提供は患者様及び代理人の同意に基づいて行われます。同意無しにオンライン資格確認を行うことはございません。</w:t>
      </w:r>
    </w:p>
    <w:p w14:paraId="00C08535" w14:textId="35752415" w:rsidR="00C25BDC" w:rsidRPr="003A1FC7" w:rsidRDefault="00000000">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医療</w:t>
      </w:r>
      <w:r w:rsidRPr="003A1FC7">
        <w:rPr>
          <w:rFonts w:asciiTheme="majorHAnsi" w:eastAsiaTheme="majorHAnsi" w:hAnsi="Helvetica" w:hint="default"/>
          <w:color w:val="000000" w:themeColor="text1"/>
          <w:sz w:val="22"/>
          <w:szCs w:val="22"/>
        </w:rPr>
        <w:t xml:space="preserve"> </w:t>
      </w:r>
      <w:r w:rsidRPr="003A1FC7">
        <w:rPr>
          <w:rFonts w:asciiTheme="majorHAnsi" w:eastAsiaTheme="majorHAnsi" w:hAnsi="Helvetica" w:hint="default"/>
          <w:color w:val="000000" w:themeColor="text1"/>
          <w:sz w:val="22"/>
          <w:szCs w:val="22"/>
          <w:lang w:val="da-DK"/>
        </w:rPr>
        <w:t xml:space="preserve">DX </w:t>
      </w:r>
      <w:r w:rsidRPr="003A1FC7">
        <w:rPr>
          <w:rFonts w:asciiTheme="majorHAnsi" w:eastAsiaTheme="majorHAnsi" w:hint="default"/>
          <w:color w:val="000000" w:themeColor="text1"/>
          <w:sz w:val="22"/>
          <w:szCs w:val="22"/>
        </w:rPr>
        <w:t>を通じた質の高い医療の提供にご理解、ご協力を賜りますようお願い申し上げます。</w:t>
      </w:r>
    </w:p>
    <w:p w14:paraId="36481984" w14:textId="77777777"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 xml:space="preserve">　　　　　　　　　　　　　　　　　　　　　　　　</w:t>
      </w:r>
    </w:p>
    <w:p w14:paraId="4CB78A08" w14:textId="77777777"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p>
    <w:p w14:paraId="38C3FEA7" w14:textId="77777777"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p>
    <w:p w14:paraId="774E2D9C" w14:textId="3837339E" w:rsidR="00C25BDC" w:rsidRPr="003A1FC7" w:rsidRDefault="00C25BDC" w:rsidP="00C25BDC">
      <w:pPr>
        <w:pStyle w:val="a5"/>
        <w:suppressAutoHyphens/>
        <w:spacing w:before="0" w:line="240" w:lineRule="auto"/>
        <w:ind w:firstLineChars="2400" w:firstLine="5280"/>
        <w:jc w:val="both"/>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2026年6月1日</w:t>
      </w:r>
    </w:p>
    <w:p w14:paraId="1089D16A" w14:textId="006E7711"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 xml:space="preserve">　　　　　　　　　　　　　　　　　　　　　　　　訪問看護ステーションまぁとと</w:t>
      </w:r>
    </w:p>
    <w:p w14:paraId="62B9B228" w14:textId="6FD50B29" w:rsidR="00C25BDC" w:rsidRPr="003A1FC7" w:rsidRDefault="00C25BDC">
      <w:pPr>
        <w:pStyle w:val="a5"/>
        <w:suppressAutoHyphens/>
        <w:spacing w:before="0" w:line="240" w:lineRule="auto"/>
        <w:jc w:val="both"/>
        <w:rPr>
          <w:rFonts w:asciiTheme="majorHAnsi" w:eastAsiaTheme="majorHAnsi" w:hint="default"/>
          <w:color w:val="000000" w:themeColor="text1"/>
          <w:sz w:val="22"/>
          <w:szCs w:val="22"/>
        </w:rPr>
      </w:pPr>
      <w:r w:rsidRPr="003A1FC7">
        <w:rPr>
          <w:rFonts w:asciiTheme="majorHAnsi" w:eastAsiaTheme="majorHAnsi" w:hint="default"/>
          <w:color w:val="000000" w:themeColor="text1"/>
          <w:sz w:val="22"/>
          <w:szCs w:val="22"/>
        </w:rPr>
        <w:t xml:space="preserve">　　　　　　　　　　　　　　　　　　　　　　　　訪問看護ステーションまぁとと一宮</w:t>
      </w:r>
    </w:p>
    <w:p w14:paraId="60DF245C" w14:textId="77777777" w:rsidR="003A1FC7" w:rsidRDefault="003A1FC7">
      <w:pPr>
        <w:pStyle w:val="a5"/>
        <w:suppressAutoHyphens/>
        <w:spacing w:before="0" w:line="240" w:lineRule="auto"/>
        <w:jc w:val="both"/>
        <w:rPr>
          <w:rFonts w:asciiTheme="majorHAnsi" w:eastAsiaTheme="majorHAnsi" w:hint="default"/>
          <w:color w:val="000000" w:themeColor="text1"/>
          <w:sz w:val="22"/>
          <w:szCs w:val="22"/>
        </w:rPr>
      </w:pPr>
    </w:p>
    <w:sectPr w:rsidR="003A1FC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70C0" w14:textId="77777777" w:rsidR="0068554B" w:rsidRDefault="0068554B">
      <w:r>
        <w:separator/>
      </w:r>
    </w:p>
  </w:endnote>
  <w:endnote w:type="continuationSeparator" w:id="0">
    <w:p w14:paraId="52DDD1AB" w14:textId="77777777" w:rsidR="0068554B" w:rsidRDefault="0068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ヒラギノ丸ゴ ProN W4">
    <w:altName w:val="游ゴシック"/>
    <w:panose1 w:val="00000000000000000000"/>
    <w:charset w:val="8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4C0C" w14:textId="77777777" w:rsidR="000429C5" w:rsidRDefault="000429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8B8B" w14:textId="77777777" w:rsidR="0068554B" w:rsidRDefault="0068554B">
      <w:r>
        <w:separator/>
      </w:r>
    </w:p>
  </w:footnote>
  <w:footnote w:type="continuationSeparator" w:id="0">
    <w:p w14:paraId="05F171AC" w14:textId="77777777" w:rsidR="0068554B" w:rsidRDefault="0068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AD4" w14:textId="77777777" w:rsidR="000429C5" w:rsidRDefault="000429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25B"/>
    <w:multiLevelType w:val="hybridMultilevel"/>
    <w:tmpl w:val="7FF8E6E6"/>
    <w:lvl w:ilvl="0" w:tplc="FFFFFFFF">
      <w:start w:val="1"/>
      <w:numFmt w:val="decimal"/>
      <w:lvlText w:val="%1."/>
      <w:lvlJc w:val="left"/>
      <w:pPr>
        <w:ind w:left="8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FFFFFFFF">
      <w:start w:val="1"/>
      <w:numFmt w:val="decimal"/>
      <w:lvlText w:val="%2."/>
      <w:lvlJc w:val="left"/>
      <w:pPr>
        <w:ind w:left="10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FFFFFFFF">
      <w:start w:val="1"/>
      <w:numFmt w:val="decimal"/>
      <w:lvlText w:val="%3."/>
      <w:lvlJc w:val="left"/>
      <w:pPr>
        <w:ind w:left="12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FFFFFFFF">
      <w:start w:val="1"/>
      <w:numFmt w:val="decimal"/>
      <w:lvlText w:val="%4."/>
      <w:lvlJc w:val="left"/>
      <w:pPr>
        <w:ind w:left="15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FFFFFFFF">
      <w:start w:val="1"/>
      <w:numFmt w:val="decimal"/>
      <w:lvlText w:val="%5."/>
      <w:lvlJc w:val="left"/>
      <w:pPr>
        <w:ind w:left="173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FFFFFFFF">
      <w:start w:val="1"/>
      <w:numFmt w:val="decimal"/>
      <w:lvlText w:val="%6."/>
      <w:lvlJc w:val="left"/>
      <w:pPr>
        <w:ind w:left="19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FFFFFFFF">
      <w:start w:val="1"/>
      <w:numFmt w:val="decimal"/>
      <w:lvlText w:val="%7."/>
      <w:lvlJc w:val="left"/>
      <w:pPr>
        <w:ind w:left="21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FFFFFFFF">
      <w:start w:val="1"/>
      <w:numFmt w:val="decimal"/>
      <w:lvlText w:val="%8."/>
      <w:lvlJc w:val="left"/>
      <w:pPr>
        <w:ind w:left="23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FFFFFFFF">
      <w:start w:val="1"/>
      <w:numFmt w:val="decimal"/>
      <w:lvlText w:val="%9."/>
      <w:lvlJc w:val="left"/>
      <w:pPr>
        <w:ind w:left="26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 w15:restartNumberingAfterBreak="0">
    <w:nsid w:val="5EA65013"/>
    <w:multiLevelType w:val="hybridMultilevel"/>
    <w:tmpl w:val="4E28CE06"/>
    <w:styleLink w:val="a"/>
    <w:lvl w:ilvl="0" w:tplc="57B29C22">
      <w:start w:val="1"/>
      <w:numFmt w:val="decimal"/>
      <w:lvlText w:val="%1."/>
      <w:lvlJc w:val="left"/>
      <w:pPr>
        <w:ind w:left="8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03A41FA">
      <w:start w:val="1"/>
      <w:numFmt w:val="decimal"/>
      <w:lvlText w:val="%2."/>
      <w:lvlJc w:val="left"/>
      <w:pPr>
        <w:ind w:left="10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98381C36">
      <w:start w:val="1"/>
      <w:numFmt w:val="decimal"/>
      <w:lvlText w:val="%3."/>
      <w:lvlJc w:val="left"/>
      <w:pPr>
        <w:ind w:left="12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ABD6D14A">
      <w:start w:val="1"/>
      <w:numFmt w:val="decimal"/>
      <w:lvlText w:val="%4."/>
      <w:lvlJc w:val="left"/>
      <w:pPr>
        <w:ind w:left="15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A044DD2A">
      <w:start w:val="1"/>
      <w:numFmt w:val="decimal"/>
      <w:lvlText w:val="%5."/>
      <w:lvlJc w:val="left"/>
      <w:pPr>
        <w:ind w:left="173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1C043E94">
      <w:start w:val="1"/>
      <w:numFmt w:val="decimal"/>
      <w:lvlText w:val="%6."/>
      <w:lvlJc w:val="left"/>
      <w:pPr>
        <w:ind w:left="19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2D267D2A">
      <w:start w:val="1"/>
      <w:numFmt w:val="decimal"/>
      <w:lvlText w:val="%7."/>
      <w:lvlJc w:val="left"/>
      <w:pPr>
        <w:ind w:left="21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19344C3E">
      <w:start w:val="1"/>
      <w:numFmt w:val="decimal"/>
      <w:lvlText w:val="%8."/>
      <w:lvlJc w:val="left"/>
      <w:pPr>
        <w:ind w:left="23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24A4490">
      <w:start w:val="1"/>
      <w:numFmt w:val="decimal"/>
      <w:lvlText w:val="%9."/>
      <w:lvlJc w:val="left"/>
      <w:pPr>
        <w:ind w:left="26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2" w15:restartNumberingAfterBreak="0">
    <w:nsid w:val="656C3B43"/>
    <w:multiLevelType w:val="hybridMultilevel"/>
    <w:tmpl w:val="4E28CE06"/>
    <w:lvl w:ilvl="0" w:tplc="FFFFFFFF">
      <w:start w:val="1"/>
      <w:numFmt w:val="decimal"/>
      <w:lvlText w:val="%1."/>
      <w:lvlJc w:val="left"/>
      <w:pPr>
        <w:ind w:left="8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FFFFFFFF">
      <w:start w:val="1"/>
      <w:numFmt w:val="decimal"/>
      <w:lvlText w:val="%2."/>
      <w:lvlJc w:val="left"/>
      <w:pPr>
        <w:ind w:left="10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FFFFFFFF">
      <w:start w:val="1"/>
      <w:numFmt w:val="decimal"/>
      <w:lvlText w:val="%3."/>
      <w:lvlJc w:val="left"/>
      <w:pPr>
        <w:ind w:left="12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FFFFFFFF">
      <w:start w:val="1"/>
      <w:numFmt w:val="decimal"/>
      <w:lvlText w:val="%4."/>
      <w:lvlJc w:val="left"/>
      <w:pPr>
        <w:ind w:left="15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FFFFFFFF">
      <w:start w:val="1"/>
      <w:numFmt w:val="decimal"/>
      <w:lvlText w:val="%5."/>
      <w:lvlJc w:val="left"/>
      <w:pPr>
        <w:ind w:left="173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FFFFFFFF">
      <w:start w:val="1"/>
      <w:numFmt w:val="decimal"/>
      <w:lvlText w:val="%6."/>
      <w:lvlJc w:val="left"/>
      <w:pPr>
        <w:ind w:left="195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FFFFFFFF">
      <w:start w:val="1"/>
      <w:numFmt w:val="decimal"/>
      <w:lvlText w:val="%7."/>
      <w:lvlJc w:val="left"/>
      <w:pPr>
        <w:ind w:left="217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FFFFFFFF">
      <w:start w:val="1"/>
      <w:numFmt w:val="decimal"/>
      <w:lvlText w:val="%8."/>
      <w:lvlJc w:val="left"/>
      <w:pPr>
        <w:ind w:left="239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FFFFFFFF">
      <w:start w:val="1"/>
      <w:numFmt w:val="decimal"/>
      <w:lvlText w:val="%9."/>
      <w:lvlJc w:val="left"/>
      <w:pPr>
        <w:ind w:left="2617" w:hanging="637"/>
      </w:pPr>
      <w:rPr>
        <w:rFonts w:ascii="Helvetica" w:eastAsia="Helvetica" w:hAnsi="Helvetica" w:cs="Helvetica"/>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3" w15:restartNumberingAfterBreak="0">
    <w:nsid w:val="7D1D0849"/>
    <w:multiLevelType w:val="hybridMultilevel"/>
    <w:tmpl w:val="4E28CE06"/>
    <w:numStyleLink w:val="a"/>
  </w:abstractNum>
  <w:num w:numId="1" w16cid:durableId="746728312">
    <w:abstractNumId w:val="1"/>
  </w:num>
  <w:num w:numId="2" w16cid:durableId="2107268858">
    <w:abstractNumId w:val="3"/>
  </w:num>
  <w:num w:numId="3" w16cid:durableId="1210531582">
    <w:abstractNumId w:val="2"/>
  </w:num>
  <w:num w:numId="4" w16cid:durableId="212765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9C5"/>
    <w:rsid w:val="000429C5"/>
    <w:rsid w:val="003A1FC7"/>
    <w:rsid w:val="004E6C80"/>
    <w:rsid w:val="00502F0C"/>
    <w:rsid w:val="0068554B"/>
    <w:rsid w:val="008C7CC5"/>
    <w:rsid w:val="00916479"/>
    <w:rsid w:val="00A163DB"/>
    <w:rsid w:val="00C25BDC"/>
    <w:rsid w:val="00EE7723"/>
    <w:rsid w:val="00F07FF9"/>
    <w:rsid w:val="00F4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747467"/>
  <w15:docId w15:val="{2BD00A68-F1F3-4999-953B-095ACAE4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デフォルト"/>
    <w:pPr>
      <w:spacing w:before="160" w:line="288" w:lineRule="auto"/>
    </w:pPr>
    <w:rPr>
      <w:rFonts w:ascii="Arial Unicode MS" w:eastAsia="Arial Unicode MS" w:hAnsi="Arial Unicode MS" w:cs="Arial Unicode MS" w:hint="eastAsia"/>
      <w:color w:val="000000"/>
      <w:lang w:val="ja-JP"/>
      <w14:textOutline w14:w="0" w14:cap="flat" w14:cmpd="sng" w14:algn="ctr">
        <w14:noFill/>
        <w14:prstDash w14:val="solid"/>
        <w14:bevel/>
      </w14:textOutline>
    </w:rPr>
  </w:style>
  <w:style w:type="numbering" w:customStyle="1" w:styleId="a">
    <w:name w:val="数字"/>
    <w:pPr>
      <w:numPr>
        <w:numId w:val="1"/>
      </w:numPr>
    </w:pPr>
  </w:style>
  <w:style w:type="paragraph" w:styleId="a6">
    <w:name w:val="Date"/>
    <w:basedOn w:val="a0"/>
    <w:next w:val="a0"/>
    <w:link w:val="a7"/>
    <w:uiPriority w:val="99"/>
    <w:semiHidden/>
    <w:unhideWhenUsed/>
    <w:rsid w:val="00C25BDC"/>
  </w:style>
  <w:style w:type="character" w:customStyle="1" w:styleId="a7">
    <w:name w:val="日付 (文字)"/>
    <w:basedOn w:val="a1"/>
    <w:link w:val="a6"/>
    <w:uiPriority w:val="99"/>
    <w:semiHidden/>
    <w:rsid w:val="00C25B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丸ゴ ProN W4"/>
        <a:ea typeface="ヒラギノ丸ゴ ProN W4"/>
        <a:cs typeface="ヒラギノ丸ゴ ProN W4"/>
      </a:majorFont>
      <a:minorFont>
        <a:latin typeface="ヒラギノ丸ゴ ProN W4"/>
        <a:ea typeface="ヒラギノ丸ゴ ProN W4"/>
        <a:cs typeface="ヒラギノ丸ゴ ProN W4"/>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FFFFFF"/>
            </a:solidFill>
            <a:effectLst/>
            <a:uFillTx/>
            <a:latin typeface="+mn-lt"/>
            <a:ea typeface="+mn-ea"/>
            <a:cs typeface="+mn-cs"/>
            <a:sym typeface="ヒラギノ丸ゴ ProN W4"/>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900" b="0" i="0" u="none" strike="noStrike" cap="none" spc="0" normalizeH="0" baseline="0">
            <a:ln>
              <a:noFill/>
            </a:ln>
            <a:solidFill>
              <a:srgbClr val="000000"/>
            </a:solidFill>
            <a:effectLst/>
            <a:uFillTx/>
            <a:latin typeface="+mn-lt"/>
            <a:ea typeface="+mn-ea"/>
            <a:cs typeface="+mn-cs"/>
            <a:sym typeface="ヒラギノ丸ゴ ProN W4"/>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佐藤恭子</dc:creator>
  <cp:lastModifiedBy>めぐみ 久保田</cp:lastModifiedBy>
  <cp:revision>4</cp:revision>
  <cp:lastPrinted>2026-05-27T03:27:00Z</cp:lastPrinted>
  <dcterms:created xsi:type="dcterms:W3CDTF">2026-05-27T03:36:00Z</dcterms:created>
  <dcterms:modified xsi:type="dcterms:W3CDTF">2026-05-31T03:21:00Z</dcterms:modified>
</cp:coreProperties>
</file>